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B1" w:rsidRDefault="00E10EB1" w:rsidP="00D05CB3">
      <w:pPr>
        <w:jc w:val="center"/>
        <w:rPr>
          <w:rFonts w:ascii="Calibri" w:hAnsi="Calibri"/>
          <w:b/>
          <w:sz w:val="22"/>
          <w:u w:val="single"/>
        </w:rPr>
      </w:pPr>
    </w:p>
    <w:p w:rsidR="004A39D6" w:rsidRPr="00310698" w:rsidRDefault="004A39D6" w:rsidP="00D05CB3">
      <w:pPr>
        <w:jc w:val="center"/>
        <w:rPr>
          <w:rFonts w:ascii="Calibri" w:hAnsi="Calibri"/>
          <w:b/>
          <w:sz w:val="22"/>
          <w:u w:val="single"/>
        </w:rPr>
      </w:pPr>
      <w:r w:rsidRPr="00310698">
        <w:rPr>
          <w:rFonts w:ascii="Calibri" w:hAnsi="Calibri"/>
          <w:b/>
          <w:sz w:val="22"/>
          <w:u w:val="single"/>
        </w:rPr>
        <w:t xml:space="preserve">Příloha č. </w:t>
      </w:r>
      <w:r w:rsidR="005963A7" w:rsidRPr="00310698">
        <w:rPr>
          <w:rFonts w:ascii="Calibri" w:hAnsi="Calibri"/>
          <w:b/>
          <w:sz w:val="22"/>
          <w:u w:val="single"/>
        </w:rPr>
        <w:t>2</w:t>
      </w:r>
      <w:r w:rsidRPr="00310698">
        <w:rPr>
          <w:rFonts w:ascii="Calibri" w:hAnsi="Calibri"/>
          <w:b/>
          <w:sz w:val="22"/>
          <w:u w:val="single"/>
        </w:rPr>
        <w:t xml:space="preserve"> – ČESTNÉ PROHLÁŠENÍ </w:t>
      </w:r>
      <w:r w:rsidR="00310698" w:rsidRPr="00310698">
        <w:rPr>
          <w:rFonts w:ascii="Calibri" w:hAnsi="Calibri"/>
          <w:b/>
          <w:sz w:val="22"/>
          <w:u w:val="single"/>
        </w:rPr>
        <w:t>UCHAZEČE</w:t>
      </w:r>
      <w:r w:rsidR="009F0D64">
        <w:rPr>
          <w:rFonts w:ascii="Calibri" w:hAnsi="Calibri"/>
          <w:b/>
          <w:sz w:val="22"/>
          <w:u w:val="single"/>
        </w:rPr>
        <w:t xml:space="preserve"> – SMLUVNÍ PODMÍNKY</w:t>
      </w:r>
    </w:p>
    <w:p w:rsidR="004A39D6" w:rsidRPr="00310698" w:rsidRDefault="004A39D6" w:rsidP="004A39D6">
      <w:pPr>
        <w:rPr>
          <w:rFonts w:ascii="Calibri" w:hAnsi="Calibri"/>
          <w:sz w:val="22"/>
          <w:u w:val="single"/>
        </w:rPr>
      </w:pPr>
    </w:p>
    <w:p w:rsidR="00E8155E" w:rsidRPr="00310698" w:rsidRDefault="00D049F9" w:rsidP="00E8155E">
      <w:pPr>
        <w:outlineLvl w:val="0"/>
        <w:rPr>
          <w:rFonts w:ascii="Calibri" w:hAnsi="Calibri"/>
          <w:b/>
          <w:bCs/>
          <w:sz w:val="22"/>
        </w:rPr>
      </w:pPr>
      <w:bookmarkStart w:id="0" w:name="_Toc287469854"/>
      <w:r w:rsidRPr="00310698">
        <w:rPr>
          <w:rFonts w:ascii="Calibri" w:hAnsi="Calibri"/>
          <w:b/>
          <w:bCs/>
          <w:sz w:val="22"/>
        </w:rPr>
        <w:t>Níže podepsaný uchazeč</w:t>
      </w:r>
      <w:r w:rsidR="00CD2C28" w:rsidRPr="00310698">
        <w:rPr>
          <w:rFonts w:ascii="Calibri" w:hAnsi="Calibri"/>
          <w:b/>
          <w:bCs/>
          <w:sz w:val="22"/>
        </w:rPr>
        <w:t xml:space="preserve"> </w:t>
      </w:r>
      <w:r w:rsidR="004A39D6" w:rsidRPr="00310698">
        <w:rPr>
          <w:rFonts w:ascii="Calibri" w:hAnsi="Calibri"/>
          <w:b/>
          <w:bCs/>
          <w:sz w:val="22"/>
        </w:rPr>
        <w:t>čestné prohlašuje, že</w:t>
      </w:r>
      <w:bookmarkEnd w:id="0"/>
      <w:r w:rsidR="004A39D6" w:rsidRPr="00310698">
        <w:rPr>
          <w:rFonts w:ascii="Calibri" w:hAnsi="Calibri"/>
          <w:b/>
          <w:bCs/>
          <w:sz w:val="22"/>
        </w:rPr>
        <w:t xml:space="preserve"> </w:t>
      </w:r>
    </w:p>
    <w:p w:rsidR="00E8155E" w:rsidRPr="00310698" w:rsidRDefault="00E8155E" w:rsidP="00E8155E">
      <w:pPr>
        <w:outlineLvl w:val="0"/>
        <w:rPr>
          <w:rFonts w:ascii="Calibri" w:hAnsi="Calibri"/>
          <w:b/>
          <w:bCs/>
          <w:sz w:val="22"/>
        </w:rPr>
      </w:pPr>
    </w:p>
    <w:p w:rsidR="0077357F" w:rsidRPr="00310698" w:rsidRDefault="00310698" w:rsidP="00310698">
      <w:pPr>
        <w:numPr>
          <w:ilvl w:val="0"/>
          <w:numId w:val="5"/>
        </w:numPr>
        <w:spacing w:after="240"/>
        <w:jc w:val="both"/>
        <w:rPr>
          <w:rFonts w:ascii="Calibri" w:hAnsi="Calibri"/>
          <w:sz w:val="22"/>
          <w:shd w:val="clear" w:color="auto" w:fill="FFFFFF"/>
        </w:rPr>
      </w:pPr>
      <w:r w:rsidRPr="00310698">
        <w:rPr>
          <w:rFonts w:ascii="Calibri" w:hAnsi="Calibri"/>
          <w:sz w:val="22"/>
          <w:shd w:val="clear" w:color="auto" w:fill="FFFFFF"/>
        </w:rPr>
        <w:t xml:space="preserve">Se důkladně seznámil se specifikací zakázky uvedené v textové </w:t>
      </w:r>
      <w:r w:rsidRPr="001A1655">
        <w:rPr>
          <w:rFonts w:ascii="Calibri" w:hAnsi="Calibri"/>
          <w:sz w:val="22"/>
          <w:shd w:val="clear" w:color="auto" w:fill="FFFFFF"/>
        </w:rPr>
        <w:t>části Výzvy uchazeč</w:t>
      </w:r>
      <w:r w:rsidR="00AD04FF" w:rsidRPr="001A1655">
        <w:rPr>
          <w:rFonts w:ascii="Calibri" w:hAnsi="Calibri"/>
          <w:sz w:val="22"/>
          <w:shd w:val="clear" w:color="auto" w:fill="FFFFFF"/>
        </w:rPr>
        <w:t>ům k předložení nabídek,</w:t>
      </w:r>
      <w:r w:rsidRPr="001A1655">
        <w:rPr>
          <w:rFonts w:ascii="Calibri" w:hAnsi="Calibri"/>
          <w:sz w:val="22"/>
          <w:shd w:val="clear" w:color="auto" w:fill="FFFFFF"/>
        </w:rPr>
        <w:t xml:space="preserve"> položkového rozpočtu</w:t>
      </w:r>
      <w:r w:rsidR="00AD04FF" w:rsidRPr="001A1655">
        <w:rPr>
          <w:rFonts w:ascii="Calibri" w:hAnsi="Calibri"/>
          <w:sz w:val="22"/>
          <w:shd w:val="clear" w:color="auto" w:fill="FFFFFF"/>
        </w:rPr>
        <w:t>, technické specifikace</w:t>
      </w:r>
      <w:r w:rsidRPr="001A1655">
        <w:rPr>
          <w:rFonts w:ascii="Calibri" w:hAnsi="Calibri"/>
          <w:sz w:val="22"/>
          <w:shd w:val="clear" w:color="auto" w:fill="FFFFFF"/>
        </w:rPr>
        <w:t xml:space="preserve"> </w:t>
      </w:r>
      <w:r w:rsidR="00AD04FF" w:rsidRPr="001A1655">
        <w:rPr>
          <w:rFonts w:ascii="Calibri" w:hAnsi="Calibri"/>
          <w:sz w:val="22"/>
          <w:shd w:val="clear" w:color="auto" w:fill="FFFFFF"/>
        </w:rPr>
        <w:t xml:space="preserve">a těchto požadovaných smluvních podmínek </w:t>
      </w:r>
      <w:r w:rsidRPr="001A1655">
        <w:rPr>
          <w:rFonts w:ascii="Calibri" w:hAnsi="Calibri"/>
          <w:sz w:val="22"/>
          <w:shd w:val="clear" w:color="auto" w:fill="FFFFFF"/>
        </w:rPr>
        <w:t>(</w:t>
      </w:r>
      <w:proofErr w:type="spellStart"/>
      <w:r w:rsidRPr="001A1655">
        <w:rPr>
          <w:rFonts w:ascii="Calibri" w:hAnsi="Calibri"/>
          <w:sz w:val="22"/>
          <w:shd w:val="clear" w:color="auto" w:fill="FFFFFF"/>
        </w:rPr>
        <w:t>příl</w:t>
      </w:r>
      <w:proofErr w:type="spellEnd"/>
      <w:r w:rsidRPr="001A1655">
        <w:rPr>
          <w:rFonts w:ascii="Calibri" w:hAnsi="Calibri"/>
          <w:sz w:val="22"/>
          <w:shd w:val="clear" w:color="auto" w:fill="FFFFFF"/>
        </w:rPr>
        <w:t xml:space="preserve">. č. </w:t>
      </w:r>
      <w:r w:rsidR="00AD04FF" w:rsidRPr="001A1655">
        <w:rPr>
          <w:rFonts w:ascii="Calibri" w:hAnsi="Calibri"/>
          <w:sz w:val="22"/>
          <w:shd w:val="clear" w:color="auto" w:fill="FFFFFF"/>
        </w:rPr>
        <w:t xml:space="preserve">2, </w:t>
      </w:r>
      <w:r w:rsidRPr="001A1655">
        <w:rPr>
          <w:rFonts w:ascii="Calibri" w:hAnsi="Calibri"/>
          <w:sz w:val="22"/>
          <w:shd w:val="clear" w:color="auto" w:fill="FFFFFF"/>
        </w:rPr>
        <w:t xml:space="preserve">3 </w:t>
      </w:r>
      <w:r w:rsidR="00AD04FF" w:rsidRPr="001A1655">
        <w:rPr>
          <w:rFonts w:ascii="Calibri" w:hAnsi="Calibri"/>
          <w:sz w:val="22"/>
          <w:shd w:val="clear" w:color="auto" w:fill="FFFFFF"/>
        </w:rPr>
        <w:t xml:space="preserve">a 4 </w:t>
      </w:r>
      <w:r w:rsidRPr="001A1655">
        <w:rPr>
          <w:rFonts w:ascii="Calibri" w:hAnsi="Calibri"/>
          <w:sz w:val="22"/>
          <w:shd w:val="clear" w:color="auto" w:fill="FFFFFF"/>
        </w:rPr>
        <w:t>Výzvy), na základě čehož předkládá svoji cenovou nabídku. Uchazečem předkládaná n</w:t>
      </w:r>
      <w:r w:rsidRPr="001A1655">
        <w:rPr>
          <w:rFonts w:ascii="Calibri" w:hAnsi="Calibri"/>
          <w:bCs/>
          <w:sz w:val="22"/>
          <w:shd w:val="clear" w:color="auto" w:fill="FFFFFF"/>
        </w:rPr>
        <w:t>abídková cena je stanovena jako</w:t>
      </w:r>
      <w:r w:rsidRPr="00310698">
        <w:rPr>
          <w:rFonts w:ascii="Calibri" w:hAnsi="Calibri"/>
          <w:bCs/>
          <w:sz w:val="22"/>
          <w:shd w:val="clear" w:color="auto" w:fill="FFFFFF"/>
        </w:rPr>
        <w:t xml:space="preserve"> nejvýše přípustná</w:t>
      </w:r>
      <w:r w:rsidRPr="00310698">
        <w:rPr>
          <w:rFonts w:ascii="Calibri" w:hAnsi="Calibri"/>
          <w:sz w:val="22"/>
          <w:shd w:val="clear" w:color="auto" w:fill="FFFFFF"/>
        </w:rPr>
        <w:t xml:space="preserve">, kterou není možné v průběhu realizace díla překročit nebo změnit, pokud to </w:t>
      </w:r>
      <w:r w:rsidR="009F0D64">
        <w:rPr>
          <w:rFonts w:ascii="Calibri" w:hAnsi="Calibri"/>
          <w:sz w:val="22"/>
          <w:shd w:val="clear" w:color="auto" w:fill="FFFFFF"/>
        </w:rPr>
        <w:t xml:space="preserve">nebudou </w:t>
      </w:r>
      <w:r w:rsidRPr="00310698">
        <w:rPr>
          <w:rFonts w:ascii="Calibri" w:hAnsi="Calibri"/>
          <w:sz w:val="22"/>
          <w:shd w:val="clear" w:color="auto" w:fill="FFFFFF"/>
        </w:rPr>
        <w:t>vyžad</w:t>
      </w:r>
      <w:r w:rsidR="009F0D64">
        <w:rPr>
          <w:rFonts w:ascii="Calibri" w:hAnsi="Calibri"/>
          <w:sz w:val="22"/>
          <w:shd w:val="clear" w:color="auto" w:fill="FFFFFF"/>
        </w:rPr>
        <w:t>ovat</w:t>
      </w:r>
      <w:r w:rsidRPr="00310698">
        <w:rPr>
          <w:rFonts w:ascii="Calibri" w:hAnsi="Calibri"/>
          <w:sz w:val="22"/>
          <w:shd w:val="clear" w:color="auto" w:fill="FFFFFF"/>
        </w:rPr>
        <w:t xml:space="preserve"> objektivní skutečnosti. Nabídková cena zahrnuje veškeré náklady uchazeče nutné k realizaci zakázky. Nabídková cena obsahuje předpokládaný vývoj cen na trhu až do konce její platnosti.</w:t>
      </w:r>
    </w:p>
    <w:p w:rsidR="00310698" w:rsidRPr="00310698" w:rsidRDefault="00310698" w:rsidP="00310698">
      <w:pPr>
        <w:numPr>
          <w:ilvl w:val="0"/>
          <w:numId w:val="5"/>
        </w:numPr>
        <w:spacing w:after="240"/>
        <w:jc w:val="both"/>
        <w:rPr>
          <w:rFonts w:ascii="Calibri" w:hAnsi="Calibri"/>
          <w:sz w:val="22"/>
          <w:shd w:val="clear" w:color="auto" w:fill="FFFFFF"/>
        </w:rPr>
      </w:pPr>
      <w:r w:rsidRPr="00310698">
        <w:rPr>
          <w:rFonts w:ascii="Calibri" w:hAnsi="Calibri"/>
          <w:sz w:val="22"/>
          <w:shd w:val="clear" w:color="auto" w:fill="FFFFFF"/>
        </w:rPr>
        <w:t>V případě, že bude uchazečova nabídka zvolena jako nejvhodnější a uchazeč bude vyzván k podpisu smlouvy, budou ve smlouvě o dílo zaneseny následující obchodní podmínky:</w:t>
      </w:r>
    </w:p>
    <w:p w:rsidR="00310698" w:rsidRPr="00310698" w:rsidRDefault="00310698" w:rsidP="00310698">
      <w:pPr>
        <w:numPr>
          <w:ilvl w:val="0"/>
          <w:numId w:val="6"/>
        </w:numPr>
        <w:spacing w:after="120"/>
        <w:ind w:left="993" w:hanging="21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310698">
        <w:rPr>
          <w:rFonts w:ascii="Calibri" w:hAnsi="Calibri"/>
          <w:sz w:val="22"/>
          <w:szCs w:val="22"/>
          <w:shd w:val="clear" w:color="auto" w:fill="FFFFFF"/>
        </w:rPr>
        <w:t>Realizace díla nejpozději</w:t>
      </w:r>
      <w:r w:rsidR="0012218E">
        <w:rPr>
          <w:rFonts w:ascii="Calibri" w:hAnsi="Calibri"/>
          <w:sz w:val="22"/>
          <w:szCs w:val="22"/>
          <w:shd w:val="clear" w:color="auto" w:fill="FFFFFF"/>
        </w:rPr>
        <w:t xml:space="preserve"> do 3</w:t>
      </w:r>
      <w:bookmarkStart w:id="1" w:name="_GoBack"/>
      <w:bookmarkEnd w:id="1"/>
      <w:r w:rsidR="0012218E">
        <w:rPr>
          <w:rFonts w:ascii="Calibri" w:hAnsi="Calibri"/>
          <w:sz w:val="22"/>
          <w:szCs w:val="22"/>
          <w:shd w:val="clear" w:color="auto" w:fill="FFFFFF"/>
        </w:rPr>
        <w:t>1</w:t>
      </w:r>
      <w:r w:rsidR="006F59B9">
        <w:rPr>
          <w:rFonts w:ascii="Calibri" w:hAnsi="Calibri"/>
          <w:sz w:val="22"/>
          <w:szCs w:val="22"/>
          <w:shd w:val="clear" w:color="auto" w:fill="FFFFFF"/>
        </w:rPr>
        <w:t>.8.2017;</w:t>
      </w:r>
    </w:p>
    <w:p w:rsidR="00310698" w:rsidRPr="00310698" w:rsidRDefault="00310698" w:rsidP="00310698">
      <w:pPr>
        <w:numPr>
          <w:ilvl w:val="0"/>
          <w:numId w:val="6"/>
        </w:numPr>
        <w:spacing w:after="120"/>
        <w:ind w:left="993" w:hanging="21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310698">
        <w:rPr>
          <w:rFonts w:ascii="Calibri" w:hAnsi="Calibri"/>
          <w:sz w:val="22"/>
          <w:szCs w:val="22"/>
          <w:shd w:val="clear" w:color="auto" w:fill="FFFFFF"/>
        </w:rPr>
        <w:t>Fakturace až po řádném dokončení díla bez vad a nedodělků a jeho odsouhlasení objednatelem;</w:t>
      </w:r>
    </w:p>
    <w:p w:rsidR="00310698" w:rsidRPr="00310698" w:rsidRDefault="006F59B9" w:rsidP="00310698">
      <w:pPr>
        <w:numPr>
          <w:ilvl w:val="0"/>
          <w:numId w:val="6"/>
        </w:numPr>
        <w:spacing w:after="120"/>
        <w:ind w:left="993" w:hanging="216"/>
        <w:jc w:val="both"/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>Splatnost faktur min. 14</w:t>
      </w:r>
      <w:r w:rsidR="00310698" w:rsidRPr="00310698">
        <w:rPr>
          <w:rFonts w:ascii="Calibri" w:hAnsi="Calibri"/>
          <w:sz w:val="22"/>
          <w:szCs w:val="22"/>
          <w:shd w:val="clear" w:color="auto" w:fill="FFFFFF"/>
        </w:rPr>
        <w:t xml:space="preserve"> dní</w:t>
      </w:r>
      <w:r w:rsidR="00310698">
        <w:rPr>
          <w:rFonts w:ascii="Calibri" w:hAnsi="Calibri"/>
          <w:sz w:val="22"/>
          <w:szCs w:val="22"/>
          <w:shd w:val="clear" w:color="auto" w:fill="FFFFFF"/>
        </w:rPr>
        <w:t>;</w:t>
      </w:r>
    </w:p>
    <w:p w:rsidR="00310698" w:rsidRPr="00310698" w:rsidRDefault="00310698" w:rsidP="00310698">
      <w:pPr>
        <w:numPr>
          <w:ilvl w:val="0"/>
          <w:numId w:val="6"/>
        </w:numPr>
        <w:spacing w:after="120"/>
        <w:ind w:left="993" w:hanging="21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310698">
        <w:rPr>
          <w:rFonts w:ascii="Calibri" w:hAnsi="Calibri"/>
          <w:sz w:val="22"/>
          <w:szCs w:val="22"/>
          <w:shd w:val="clear" w:color="auto" w:fill="FFFFFF"/>
        </w:rPr>
        <w:t>Žádn</w:t>
      </w:r>
      <w:r>
        <w:rPr>
          <w:rFonts w:ascii="Calibri" w:hAnsi="Calibri"/>
          <w:sz w:val="22"/>
          <w:szCs w:val="22"/>
          <w:shd w:val="clear" w:color="auto" w:fill="FFFFFF"/>
        </w:rPr>
        <w:t>é smluvní sankce a pokuty vůči O</w:t>
      </w:r>
      <w:r w:rsidRPr="00310698">
        <w:rPr>
          <w:rFonts w:ascii="Calibri" w:hAnsi="Calibri"/>
          <w:sz w:val="22"/>
          <w:szCs w:val="22"/>
          <w:shd w:val="clear" w:color="auto" w:fill="FFFFFF"/>
        </w:rPr>
        <w:t>bjednateli</w:t>
      </w:r>
      <w:r>
        <w:rPr>
          <w:rFonts w:ascii="Calibri" w:hAnsi="Calibri"/>
          <w:sz w:val="22"/>
          <w:szCs w:val="22"/>
          <w:shd w:val="clear" w:color="auto" w:fill="FFFFFF"/>
        </w:rPr>
        <w:t>;</w:t>
      </w:r>
    </w:p>
    <w:p w:rsidR="00310698" w:rsidRPr="00310698" w:rsidRDefault="00310698" w:rsidP="00310698">
      <w:pPr>
        <w:numPr>
          <w:ilvl w:val="0"/>
          <w:numId w:val="6"/>
        </w:numPr>
        <w:spacing w:after="120"/>
        <w:ind w:left="993" w:hanging="21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310698">
        <w:rPr>
          <w:rFonts w:ascii="Calibri" w:hAnsi="Calibri"/>
          <w:sz w:val="22"/>
          <w:szCs w:val="22"/>
          <w:shd w:val="clear" w:color="auto" w:fill="FFFFFF"/>
        </w:rPr>
        <w:t xml:space="preserve">Smluvní sankce 0,5 % ceny díla bez DPH za každý </w:t>
      </w:r>
      <w:r w:rsidRPr="00310698">
        <w:rPr>
          <w:rFonts w:ascii="Calibri" w:hAnsi="Calibri"/>
          <w:sz w:val="22"/>
          <w:szCs w:val="22"/>
        </w:rPr>
        <w:t>kalendářní den prodlení s řádným dokončením díla</w:t>
      </w:r>
      <w:r>
        <w:rPr>
          <w:rFonts w:ascii="Calibri" w:hAnsi="Calibri"/>
          <w:sz w:val="22"/>
          <w:szCs w:val="22"/>
        </w:rPr>
        <w:t>;</w:t>
      </w:r>
    </w:p>
    <w:p w:rsidR="00310698" w:rsidRDefault="00310698" w:rsidP="00310698">
      <w:pPr>
        <w:numPr>
          <w:ilvl w:val="0"/>
          <w:numId w:val="6"/>
        </w:numPr>
        <w:spacing w:after="120"/>
        <w:ind w:left="993" w:hanging="216"/>
        <w:jc w:val="both"/>
        <w:rPr>
          <w:rFonts w:ascii="Calibri" w:hAnsi="Calibri"/>
          <w:sz w:val="22"/>
          <w:shd w:val="clear" w:color="auto" w:fill="FFFFFF"/>
        </w:rPr>
      </w:pPr>
      <w:r>
        <w:rPr>
          <w:rFonts w:ascii="Calibri" w:hAnsi="Calibri"/>
          <w:sz w:val="22"/>
          <w:shd w:val="clear" w:color="auto" w:fill="FFFFFF"/>
        </w:rPr>
        <w:t xml:space="preserve">Smluvní sankce ve výši 10 000 Kč za případné nevyklizení místa plnění (staveniště) do 14 </w:t>
      </w:r>
      <w:r w:rsidR="009F0D64">
        <w:rPr>
          <w:rFonts w:ascii="Calibri" w:hAnsi="Calibri"/>
          <w:sz w:val="22"/>
          <w:shd w:val="clear" w:color="auto" w:fill="FFFFFF"/>
        </w:rPr>
        <w:t xml:space="preserve">kalendářních </w:t>
      </w:r>
      <w:r>
        <w:rPr>
          <w:rFonts w:ascii="Calibri" w:hAnsi="Calibri"/>
          <w:sz w:val="22"/>
          <w:shd w:val="clear" w:color="auto" w:fill="FFFFFF"/>
        </w:rPr>
        <w:t>dnů od řádného dokončení díla;</w:t>
      </w:r>
    </w:p>
    <w:p w:rsidR="00310698" w:rsidRDefault="00310698" w:rsidP="00310698">
      <w:pPr>
        <w:numPr>
          <w:ilvl w:val="0"/>
          <w:numId w:val="6"/>
        </w:numPr>
        <w:spacing w:after="120"/>
        <w:ind w:left="993" w:hanging="216"/>
        <w:jc w:val="both"/>
        <w:rPr>
          <w:rFonts w:ascii="Calibri" w:hAnsi="Calibri"/>
          <w:sz w:val="22"/>
          <w:shd w:val="clear" w:color="auto" w:fill="FFFFFF"/>
        </w:rPr>
      </w:pPr>
      <w:r>
        <w:rPr>
          <w:rFonts w:ascii="Calibri" w:hAnsi="Calibri"/>
          <w:sz w:val="22"/>
          <w:shd w:val="clear" w:color="auto" w:fill="FFFFFF"/>
        </w:rPr>
        <w:t>Záruka</w:t>
      </w:r>
      <w:r w:rsidRPr="00310698">
        <w:rPr>
          <w:rFonts w:ascii="Calibri" w:hAnsi="Calibri"/>
          <w:sz w:val="22"/>
          <w:shd w:val="clear" w:color="auto" w:fill="FFFFFF"/>
        </w:rPr>
        <w:t xml:space="preserve"> za jakost díla jako celku v délce 60 měsíců</w:t>
      </w:r>
      <w:r w:rsidR="005F42FC">
        <w:rPr>
          <w:rFonts w:ascii="Calibri" w:hAnsi="Calibri"/>
          <w:sz w:val="22"/>
          <w:shd w:val="clear" w:color="auto" w:fill="FFFFFF"/>
        </w:rPr>
        <w:t xml:space="preserve">, </w:t>
      </w:r>
      <w:r w:rsidR="005F42FC" w:rsidRPr="006F59B9">
        <w:rPr>
          <w:rFonts w:ascii="Calibri" w:hAnsi="Calibri"/>
          <w:sz w:val="22"/>
          <w:shd w:val="clear" w:color="auto" w:fill="FFFFFF"/>
        </w:rPr>
        <w:t>120 měsíců na konstrukce</w:t>
      </w:r>
      <w:r>
        <w:rPr>
          <w:rFonts w:ascii="Calibri" w:hAnsi="Calibri"/>
          <w:sz w:val="22"/>
          <w:shd w:val="clear" w:color="auto" w:fill="FFFFFF"/>
        </w:rPr>
        <w:t>;</w:t>
      </w:r>
      <w:r w:rsidRPr="00310698">
        <w:rPr>
          <w:rFonts w:ascii="Calibri" w:hAnsi="Calibri"/>
          <w:sz w:val="22"/>
          <w:shd w:val="clear" w:color="auto" w:fill="FFFFFF"/>
        </w:rPr>
        <w:t xml:space="preserve"> </w:t>
      </w:r>
    </w:p>
    <w:p w:rsidR="00310698" w:rsidRDefault="00310698" w:rsidP="00310698">
      <w:pPr>
        <w:numPr>
          <w:ilvl w:val="0"/>
          <w:numId w:val="6"/>
        </w:numPr>
        <w:spacing w:after="120"/>
        <w:ind w:left="993" w:hanging="216"/>
        <w:jc w:val="both"/>
        <w:rPr>
          <w:rFonts w:ascii="Calibri" w:hAnsi="Calibri"/>
          <w:bCs/>
          <w:iCs/>
          <w:sz w:val="22"/>
          <w:shd w:val="clear" w:color="auto" w:fill="FFFFFF"/>
        </w:rPr>
      </w:pPr>
      <w:r>
        <w:rPr>
          <w:rFonts w:ascii="Calibri" w:hAnsi="Calibri"/>
          <w:bCs/>
          <w:iCs/>
          <w:sz w:val="22"/>
          <w:shd w:val="clear" w:color="auto" w:fill="FFFFFF"/>
        </w:rPr>
        <w:t>P</w:t>
      </w:r>
      <w:r w:rsidRPr="00310698">
        <w:rPr>
          <w:rFonts w:ascii="Calibri" w:hAnsi="Calibri"/>
          <w:bCs/>
          <w:iCs/>
          <w:sz w:val="22"/>
          <w:shd w:val="clear" w:color="auto" w:fill="FFFFFF"/>
        </w:rPr>
        <w:t>ovin</w:t>
      </w:r>
      <w:r>
        <w:rPr>
          <w:rFonts w:ascii="Calibri" w:hAnsi="Calibri"/>
          <w:bCs/>
          <w:iCs/>
          <w:sz w:val="22"/>
          <w:shd w:val="clear" w:color="auto" w:fill="FFFFFF"/>
        </w:rPr>
        <w:t>ností Zhotovitele je</w:t>
      </w:r>
      <w:r w:rsidRPr="00310698">
        <w:rPr>
          <w:rFonts w:ascii="Calibri" w:hAnsi="Calibri"/>
          <w:bCs/>
          <w:iCs/>
          <w:sz w:val="22"/>
          <w:shd w:val="clear" w:color="auto" w:fill="FFFFFF"/>
        </w:rPr>
        <w:t xml:space="preserve"> i případná součinnost vůči příslušnému stavebnímu úřadu nebo orgánům finanční kontroly (dle zákona č. 320/2001 Sb., o finanční kontrole)</w:t>
      </w:r>
      <w:r>
        <w:rPr>
          <w:rFonts w:ascii="Calibri" w:hAnsi="Calibri"/>
          <w:bCs/>
          <w:iCs/>
          <w:sz w:val="22"/>
          <w:shd w:val="clear" w:color="auto" w:fill="FFFFFF"/>
        </w:rPr>
        <w:t>;</w:t>
      </w:r>
    </w:p>
    <w:p w:rsidR="00310698" w:rsidRPr="00310698" w:rsidRDefault="00310698" w:rsidP="00310698">
      <w:pPr>
        <w:numPr>
          <w:ilvl w:val="0"/>
          <w:numId w:val="6"/>
        </w:numPr>
        <w:spacing w:after="120"/>
        <w:ind w:left="993" w:hanging="216"/>
        <w:jc w:val="both"/>
        <w:rPr>
          <w:rFonts w:ascii="Calibri" w:hAnsi="Calibri"/>
          <w:bCs/>
          <w:iCs/>
          <w:sz w:val="22"/>
          <w:shd w:val="clear" w:color="auto" w:fill="FFFFFF"/>
        </w:rPr>
      </w:pPr>
      <w:r>
        <w:rPr>
          <w:rFonts w:ascii="Calibri" w:hAnsi="Calibri"/>
          <w:bCs/>
          <w:iCs/>
          <w:sz w:val="22"/>
          <w:shd w:val="clear" w:color="auto" w:fill="FFFFFF"/>
        </w:rPr>
        <w:t>Objednatel si</w:t>
      </w:r>
      <w:r w:rsidRPr="00310698">
        <w:rPr>
          <w:rFonts w:ascii="Calibri" w:hAnsi="Calibri"/>
          <w:bCs/>
          <w:iCs/>
          <w:sz w:val="22"/>
          <w:shd w:val="clear" w:color="auto" w:fill="FFFFFF"/>
        </w:rPr>
        <w:t xml:space="preserve"> vyhrazuje právo na jednostranné odstoupení od smlouvy, a to zejména v důsledku nezajištění dostatečných finančních prostředků k realizaci akce, neobdržení dotace apod. v průběhu platnosti sjednané smlouvy.</w:t>
      </w:r>
      <w:r>
        <w:rPr>
          <w:rFonts w:ascii="Calibri" w:hAnsi="Calibri"/>
          <w:bCs/>
          <w:iCs/>
          <w:sz w:val="22"/>
          <w:shd w:val="clear" w:color="auto" w:fill="FFFFFF"/>
        </w:rPr>
        <w:t xml:space="preserve"> </w:t>
      </w:r>
      <w:r w:rsidRPr="00310698">
        <w:rPr>
          <w:rFonts w:ascii="Calibri" w:hAnsi="Calibri"/>
          <w:bCs/>
          <w:iCs/>
          <w:sz w:val="22"/>
          <w:shd w:val="clear" w:color="auto" w:fill="FFFFFF"/>
        </w:rPr>
        <w:t>Odstoupením od smlouvy zanikají všechna práva a povinnosti stran ze smlouvy, s výjimkou nároků na náhradu škody vzniklé porušením smlouvy</w:t>
      </w:r>
      <w:r w:rsidR="00AD04FF">
        <w:rPr>
          <w:rFonts w:ascii="Calibri" w:hAnsi="Calibri"/>
          <w:bCs/>
          <w:iCs/>
          <w:sz w:val="22"/>
          <w:shd w:val="clear" w:color="auto" w:fill="FFFFFF"/>
        </w:rPr>
        <w:t xml:space="preserve"> </w:t>
      </w:r>
      <w:r w:rsidR="00AD04FF" w:rsidRPr="006F59B9">
        <w:rPr>
          <w:rFonts w:ascii="Calibri" w:hAnsi="Calibri"/>
          <w:bCs/>
          <w:iCs/>
          <w:sz w:val="22"/>
          <w:shd w:val="clear" w:color="auto" w:fill="FFFFFF"/>
        </w:rPr>
        <w:t>vůči objednateli</w:t>
      </w:r>
      <w:r w:rsidRPr="00310698">
        <w:rPr>
          <w:rFonts w:ascii="Calibri" w:hAnsi="Calibri"/>
          <w:bCs/>
          <w:iCs/>
          <w:sz w:val="22"/>
          <w:shd w:val="clear" w:color="auto" w:fill="FFFFFF"/>
        </w:rPr>
        <w:t>, nároku na sjednané smluvní pokuty a nároků na úhradu dosud prokazatelně započatých a řádně provedených prací Zhotovitelem ve prospěch Objednatele (v souladu s položkovým rozpočtem).</w:t>
      </w:r>
    </w:p>
    <w:p w:rsidR="00310698" w:rsidRPr="00AD04FF" w:rsidRDefault="00310698" w:rsidP="00AC4D90">
      <w:pPr>
        <w:spacing w:line="276" w:lineRule="auto"/>
        <w:ind w:firstLine="708"/>
        <w:jc w:val="both"/>
        <w:rPr>
          <w:rFonts w:ascii="Calibri" w:hAnsi="Calibri"/>
          <w:sz w:val="48"/>
        </w:rPr>
      </w:pPr>
    </w:p>
    <w:p w:rsidR="00771D6A" w:rsidRPr="00310698" w:rsidRDefault="00771D6A" w:rsidP="00AC4D90">
      <w:pPr>
        <w:spacing w:line="276" w:lineRule="auto"/>
        <w:ind w:firstLine="708"/>
        <w:jc w:val="both"/>
        <w:rPr>
          <w:rFonts w:ascii="Calibri" w:hAnsi="Calibri"/>
          <w:sz w:val="22"/>
          <w:szCs w:val="20"/>
        </w:rPr>
      </w:pPr>
      <w:r w:rsidRPr="00310698">
        <w:rPr>
          <w:rFonts w:ascii="Calibri" w:hAnsi="Calibri"/>
          <w:sz w:val="22"/>
          <w:szCs w:val="20"/>
        </w:rPr>
        <w:t>V …………</w:t>
      </w:r>
      <w:r w:rsidR="00AC4D90" w:rsidRPr="00310698">
        <w:rPr>
          <w:rFonts w:ascii="Calibri" w:hAnsi="Calibri"/>
          <w:sz w:val="22"/>
          <w:szCs w:val="20"/>
        </w:rPr>
        <w:t>………</w:t>
      </w:r>
      <w:proofErr w:type="gramStart"/>
      <w:r w:rsidR="00AC4D90" w:rsidRPr="00310698">
        <w:rPr>
          <w:rFonts w:ascii="Calibri" w:hAnsi="Calibri"/>
          <w:sz w:val="22"/>
          <w:szCs w:val="20"/>
        </w:rPr>
        <w:t>…….</w:t>
      </w:r>
      <w:proofErr w:type="gramEnd"/>
      <w:r w:rsidRPr="00310698">
        <w:rPr>
          <w:rFonts w:ascii="Calibri" w:hAnsi="Calibri"/>
          <w:sz w:val="22"/>
          <w:szCs w:val="20"/>
        </w:rPr>
        <w:t>….. dne ……………</w:t>
      </w:r>
    </w:p>
    <w:p w:rsidR="00771D6A" w:rsidRPr="00310698" w:rsidRDefault="00771D6A" w:rsidP="00CD2C28">
      <w:pPr>
        <w:spacing w:line="276" w:lineRule="auto"/>
        <w:jc w:val="both"/>
        <w:rPr>
          <w:rFonts w:ascii="Calibri" w:hAnsi="Calibri"/>
          <w:sz w:val="22"/>
          <w:szCs w:val="20"/>
        </w:rPr>
      </w:pPr>
    </w:p>
    <w:p w:rsidR="00771D6A" w:rsidRPr="00310698" w:rsidRDefault="00771D6A" w:rsidP="005963A7">
      <w:pPr>
        <w:spacing w:line="276" w:lineRule="auto"/>
        <w:ind w:left="2268"/>
        <w:jc w:val="center"/>
        <w:rPr>
          <w:rFonts w:ascii="Calibri" w:hAnsi="Calibri"/>
          <w:sz w:val="22"/>
          <w:szCs w:val="20"/>
        </w:rPr>
      </w:pPr>
      <w:r w:rsidRPr="00310698">
        <w:rPr>
          <w:rFonts w:ascii="Calibri" w:hAnsi="Calibri"/>
          <w:sz w:val="22"/>
          <w:szCs w:val="20"/>
        </w:rPr>
        <w:t>………………………………………………</w:t>
      </w:r>
      <w:r w:rsidR="005963A7" w:rsidRPr="00310698">
        <w:rPr>
          <w:rFonts w:ascii="Calibri" w:hAnsi="Calibri"/>
          <w:sz w:val="22"/>
          <w:szCs w:val="20"/>
        </w:rPr>
        <w:t>……………………………..</w:t>
      </w:r>
      <w:r w:rsidRPr="00310698">
        <w:rPr>
          <w:rFonts w:ascii="Calibri" w:hAnsi="Calibri"/>
          <w:sz w:val="22"/>
          <w:szCs w:val="20"/>
        </w:rPr>
        <w:t>…</w:t>
      </w:r>
      <w:r w:rsidR="005963A7" w:rsidRPr="00310698">
        <w:rPr>
          <w:rFonts w:ascii="Calibri" w:hAnsi="Calibri"/>
          <w:sz w:val="22"/>
          <w:szCs w:val="20"/>
        </w:rPr>
        <w:t>……</w:t>
      </w:r>
    </w:p>
    <w:p w:rsidR="00A779E9" w:rsidRPr="00310698" w:rsidRDefault="00771D6A" w:rsidP="005963A7">
      <w:pPr>
        <w:spacing w:line="276" w:lineRule="auto"/>
        <w:ind w:left="2268"/>
        <w:jc w:val="center"/>
        <w:rPr>
          <w:rFonts w:ascii="Calibri" w:hAnsi="Calibri" w:cs="Arial"/>
          <w:sz w:val="18"/>
          <w:szCs w:val="20"/>
        </w:rPr>
      </w:pPr>
      <w:r w:rsidRPr="00310698">
        <w:rPr>
          <w:rFonts w:ascii="Calibri" w:hAnsi="Calibri" w:cs="Arial"/>
          <w:sz w:val="20"/>
          <w:szCs w:val="20"/>
        </w:rPr>
        <w:t xml:space="preserve">podpis </w:t>
      </w:r>
      <w:r w:rsidR="005D1B94" w:rsidRPr="00310698">
        <w:rPr>
          <w:rFonts w:ascii="Calibri" w:hAnsi="Calibri" w:cs="Arial"/>
          <w:sz w:val="20"/>
          <w:szCs w:val="20"/>
        </w:rPr>
        <w:t>osob/</w:t>
      </w:r>
      <w:r w:rsidRPr="00310698">
        <w:rPr>
          <w:rFonts w:ascii="Calibri" w:hAnsi="Calibri" w:cs="Arial"/>
          <w:sz w:val="20"/>
          <w:szCs w:val="20"/>
        </w:rPr>
        <w:t>osoby oprávněné</w:t>
      </w:r>
      <w:r w:rsidR="005D1B94" w:rsidRPr="00310698">
        <w:rPr>
          <w:rFonts w:ascii="Calibri" w:hAnsi="Calibri" w:cs="Arial"/>
          <w:sz w:val="20"/>
          <w:szCs w:val="20"/>
        </w:rPr>
        <w:t>/oprávněných</w:t>
      </w:r>
      <w:r w:rsidRPr="00310698">
        <w:rPr>
          <w:rFonts w:ascii="Calibri" w:hAnsi="Calibri" w:cs="Arial"/>
          <w:sz w:val="20"/>
          <w:szCs w:val="20"/>
        </w:rPr>
        <w:t xml:space="preserve"> jednat za uchazeče nebo jeho jméne</w:t>
      </w:r>
      <w:r w:rsidR="00AD04FF">
        <w:rPr>
          <w:rFonts w:ascii="Calibri" w:hAnsi="Calibri" w:cs="Arial"/>
          <w:sz w:val="20"/>
          <w:szCs w:val="20"/>
        </w:rPr>
        <w:t>m</w:t>
      </w:r>
    </w:p>
    <w:sectPr w:rsidR="00A779E9" w:rsidRPr="00310698" w:rsidSect="00C83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C06" w:rsidRPr="00BE5FCE" w:rsidRDefault="00336C06" w:rsidP="004A39D6">
      <w:pPr>
        <w:rPr>
          <w:sz w:val="20"/>
          <w:szCs w:val="20"/>
        </w:rPr>
      </w:pPr>
      <w:r>
        <w:separator/>
      </w:r>
    </w:p>
  </w:endnote>
  <w:endnote w:type="continuationSeparator" w:id="0">
    <w:p w:rsidR="00336C06" w:rsidRPr="00BE5FCE" w:rsidRDefault="00336C06" w:rsidP="004A39D6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42" w:rsidRPr="005963A7" w:rsidRDefault="005E1042" w:rsidP="000D5F72">
    <w:pPr>
      <w:pStyle w:val="Zpat"/>
      <w:jc w:val="right"/>
      <w:rPr>
        <w:rFonts w:ascii="Cambria" w:hAnsi="Cambria"/>
        <w:sz w:val="22"/>
        <w:szCs w:val="18"/>
      </w:rPr>
    </w:pPr>
    <w:r w:rsidRPr="005963A7">
      <w:rPr>
        <w:rFonts w:ascii="Cambria" w:hAnsi="Cambria"/>
        <w:sz w:val="22"/>
        <w:szCs w:val="18"/>
      </w:rPr>
      <w:t xml:space="preserve"> </w:t>
    </w:r>
    <w:r w:rsidR="00BA00AF" w:rsidRPr="005963A7">
      <w:rPr>
        <w:rFonts w:ascii="Cambria" w:hAnsi="Cambria"/>
        <w:b/>
        <w:sz w:val="22"/>
        <w:szCs w:val="18"/>
      </w:rPr>
      <w:fldChar w:fldCharType="begin"/>
    </w:r>
    <w:r w:rsidRPr="005963A7">
      <w:rPr>
        <w:rFonts w:ascii="Cambria" w:hAnsi="Cambria"/>
        <w:b/>
        <w:sz w:val="22"/>
        <w:szCs w:val="18"/>
      </w:rPr>
      <w:instrText>PAGE</w:instrText>
    </w:r>
    <w:r w:rsidR="00BA00AF" w:rsidRPr="005963A7">
      <w:rPr>
        <w:rFonts w:ascii="Cambria" w:hAnsi="Cambria"/>
        <w:b/>
        <w:sz w:val="22"/>
        <w:szCs w:val="18"/>
      </w:rPr>
      <w:fldChar w:fldCharType="separate"/>
    </w:r>
    <w:r w:rsidR="0012218E">
      <w:rPr>
        <w:rFonts w:ascii="Cambria" w:hAnsi="Cambria"/>
        <w:b/>
        <w:noProof/>
        <w:sz w:val="22"/>
        <w:szCs w:val="18"/>
      </w:rPr>
      <w:t>1</w:t>
    </w:r>
    <w:r w:rsidR="00BA00AF" w:rsidRPr="005963A7">
      <w:rPr>
        <w:rFonts w:ascii="Cambria" w:hAnsi="Cambria"/>
        <w:b/>
        <w:sz w:val="22"/>
        <w:szCs w:val="18"/>
      </w:rPr>
      <w:fldChar w:fldCharType="end"/>
    </w:r>
    <w:r w:rsidRPr="005963A7">
      <w:rPr>
        <w:rFonts w:ascii="Cambria" w:hAnsi="Cambria"/>
        <w:sz w:val="22"/>
        <w:szCs w:val="18"/>
      </w:rPr>
      <w:t xml:space="preserve"> z </w:t>
    </w:r>
    <w:r w:rsidR="00BA00AF" w:rsidRPr="005963A7">
      <w:rPr>
        <w:rFonts w:ascii="Cambria" w:hAnsi="Cambria"/>
        <w:b/>
        <w:sz w:val="22"/>
        <w:szCs w:val="18"/>
      </w:rPr>
      <w:fldChar w:fldCharType="begin"/>
    </w:r>
    <w:r w:rsidRPr="005963A7">
      <w:rPr>
        <w:rFonts w:ascii="Cambria" w:hAnsi="Cambria"/>
        <w:b/>
        <w:sz w:val="22"/>
        <w:szCs w:val="18"/>
      </w:rPr>
      <w:instrText>NUMPAGES</w:instrText>
    </w:r>
    <w:r w:rsidR="00BA00AF" w:rsidRPr="005963A7">
      <w:rPr>
        <w:rFonts w:ascii="Cambria" w:hAnsi="Cambria"/>
        <w:b/>
        <w:sz w:val="22"/>
        <w:szCs w:val="18"/>
      </w:rPr>
      <w:fldChar w:fldCharType="separate"/>
    </w:r>
    <w:r w:rsidR="0012218E">
      <w:rPr>
        <w:rFonts w:ascii="Cambria" w:hAnsi="Cambria"/>
        <w:b/>
        <w:noProof/>
        <w:sz w:val="22"/>
        <w:szCs w:val="18"/>
      </w:rPr>
      <w:t>1</w:t>
    </w:r>
    <w:r w:rsidR="00BA00AF" w:rsidRPr="005963A7">
      <w:rPr>
        <w:rFonts w:ascii="Cambria" w:hAnsi="Cambria"/>
        <w:b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C06" w:rsidRPr="00BE5FCE" w:rsidRDefault="00336C06" w:rsidP="004A39D6">
      <w:pPr>
        <w:rPr>
          <w:sz w:val="20"/>
          <w:szCs w:val="20"/>
        </w:rPr>
      </w:pPr>
      <w:r>
        <w:separator/>
      </w:r>
    </w:p>
  </w:footnote>
  <w:footnote w:type="continuationSeparator" w:id="0">
    <w:p w:rsidR="00336C06" w:rsidRPr="00BE5FCE" w:rsidRDefault="00336C06" w:rsidP="004A39D6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Y="1"/>
      <w:tblOverlap w:val="never"/>
      <w:tblW w:w="9073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22"/>
      <w:gridCol w:w="5249"/>
      <w:gridCol w:w="1702"/>
    </w:tblGrid>
    <w:tr w:rsidR="00CC143F" w:rsidRPr="00D24CBA" w:rsidTr="00C00287">
      <w:trPr>
        <w:trHeight w:val="698"/>
      </w:trPr>
      <w:tc>
        <w:tcPr>
          <w:tcW w:w="2122" w:type="dxa"/>
        </w:tcPr>
        <w:p w:rsidR="00CC143F" w:rsidRPr="00D24CBA" w:rsidRDefault="00CC143F" w:rsidP="00CC143F">
          <w:pPr>
            <w:tabs>
              <w:tab w:val="right" w:pos="9072"/>
            </w:tabs>
            <w:ind w:left="141"/>
            <w:rPr>
              <w:rFonts w:ascii="Calibri" w:eastAsia="Calibri" w:hAnsi="Calibri"/>
              <w:sz w:val="14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150620" cy="520519"/>
                <wp:effectExtent l="0" t="0" r="0" b="0"/>
                <wp:docPr id="1" name="Obrázek 1" descr="C:\Users\Mirka\AppData\Local\Microsoft\Windows\INetCache\Content.Word\logo-szi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irka\AppData\Local\Microsoft\Windows\INetCache\Content.Word\logo-szi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607" cy="525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9" w:type="dxa"/>
          <w:vAlign w:val="center"/>
        </w:tcPr>
        <w:p w:rsidR="00CC143F" w:rsidRPr="00D24CBA" w:rsidRDefault="00CC143F" w:rsidP="00CC143F">
          <w:pPr>
            <w:tabs>
              <w:tab w:val="right" w:pos="9072"/>
            </w:tabs>
            <w:ind w:left="141"/>
            <w:jc w:val="center"/>
            <w:rPr>
              <w:rFonts w:ascii="Calibri" w:eastAsia="Calibri" w:hAnsi="Calibri"/>
              <w:sz w:val="20"/>
              <w:szCs w:val="20"/>
              <w:lang w:eastAsia="en-US"/>
            </w:rPr>
          </w:pPr>
          <w:r>
            <w:rPr>
              <w:rFonts w:ascii="Calibri" w:eastAsia="Calibri" w:hAnsi="Calibri"/>
              <w:sz w:val="20"/>
              <w:szCs w:val="20"/>
              <w:lang w:eastAsia="en-US"/>
            </w:rPr>
            <w:t xml:space="preserve">Poptávkové řízení </w:t>
          </w:r>
        </w:p>
        <w:p w:rsidR="00CC143F" w:rsidRPr="00D24CBA" w:rsidRDefault="00CC143F" w:rsidP="00CC143F">
          <w:pPr>
            <w:tabs>
              <w:tab w:val="right" w:pos="9072"/>
            </w:tabs>
            <w:ind w:left="-5"/>
            <w:jc w:val="center"/>
            <w:rPr>
              <w:rFonts w:ascii="Calibri" w:eastAsia="Calibri" w:hAnsi="Calibri"/>
              <w:sz w:val="20"/>
              <w:szCs w:val="20"/>
              <w:lang w:eastAsia="en-US"/>
            </w:rPr>
          </w:pPr>
          <w:r w:rsidRPr="00973B84">
            <w:rPr>
              <w:rFonts w:ascii="Calibri" w:eastAsia="Calibri" w:hAnsi="Calibri"/>
              <w:b/>
              <w:sz w:val="20"/>
              <w:szCs w:val="20"/>
              <w:lang w:eastAsia="en-US"/>
            </w:rPr>
            <w:t>„</w:t>
          </w:r>
          <w:r>
            <w:rPr>
              <w:rFonts w:ascii="Calibri" w:eastAsia="Calibri" w:hAnsi="Calibri"/>
              <w:b/>
              <w:sz w:val="20"/>
              <w:szCs w:val="20"/>
              <w:lang w:eastAsia="en-US"/>
            </w:rPr>
            <w:t>Místa pasivního odpočinku Bělkovice-Lašťany 2017</w:t>
          </w:r>
          <w:r w:rsidRPr="00973B84">
            <w:rPr>
              <w:rFonts w:ascii="Calibri" w:eastAsia="Calibri" w:hAnsi="Calibri"/>
              <w:b/>
              <w:sz w:val="20"/>
              <w:szCs w:val="20"/>
              <w:lang w:eastAsia="en-US"/>
            </w:rPr>
            <w:t>“</w:t>
          </w:r>
        </w:p>
      </w:tc>
      <w:tc>
        <w:tcPr>
          <w:tcW w:w="1702" w:type="dxa"/>
          <w:vAlign w:val="center"/>
        </w:tcPr>
        <w:p w:rsidR="00CC143F" w:rsidRPr="00D24CBA" w:rsidRDefault="00CC143F" w:rsidP="00CC143F">
          <w:pPr>
            <w:tabs>
              <w:tab w:val="right" w:pos="9072"/>
            </w:tabs>
            <w:ind w:left="-5"/>
            <w:jc w:val="right"/>
            <w:rPr>
              <w:rFonts w:ascii="Calibri" w:eastAsia="Calibri" w:hAnsi="Calibri"/>
              <w:sz w:val="20"/>
              <w:szCs w:val="20"/>
              <w:lang w:eastAsia="en-US"/>
            </w:rPr>
          </w:pPr>
          <w:r>
            <w:rPr>
              <w:rFonts w:ascii="Verdana" w:hAnsi="Verdana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547630" cy="638264"/>
                <wp:effectExtent l="0" t="0" r="5080" b="0"/>
                <wp:docPr id="2" name="Obrázek 2" descr="Erb: Bělkovice-Lašťa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: Bělkovice-Lašťa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58" cy="667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143F" w:rsidRPr="00D24CBA" w:rsidTr="00C00287">
      <w:trPr>
        <w:trHeight w:val="697"/>
      </w:trPr>
      <w:tc>
        <w:tcPr>
          <w:tcW w:w="9072" w:type="dxa"/>
          <w:gridSpan w:val="3"/>
        </w:tcPr>
        <w:p w:rsidR="00CC143F" w:rsidRPr="002F757C" w:rsidRDefault="00CC143F" w:rsidP="00CC143F">
          <w:pPr>
            <w:tabs>
              <w:tab w:val="center" w:pos="4536"/>
              <w:tab w:val="right" w:pos="9072"/>
            </w:tabs>
            <w:ind w:left="141"/>
            <w:rPr>
              <w:rFonts w:ascii="Calibri" w:eastAsia="Calibri" w:hAnsi="Calibri"/>
              <w:sz w:val="17"/>
              <w:szCs w:val="17"/>
              <w:lang w:eastAsia="en-US"/>
            </w:rPr>
          </w:pPr>
          <w:r w:rsidRPr="002F757C">
            <w:rPr>
              <w:rFonts w:ascii="Calibri" w:eastAsia="Calibri" w:hAnsi="Calibri"/>
              <w:sz w:val="17"/>
              <w:szCs w:val="17"/>
              <w:lang w:eastAsia="en-US"/>
            </w:rPr>
            <w:t>Předmě</w:t>
          </w:r>
          <w:r>
            <w:rPr>
              <w:rFonts w:ascii="Calibri" w:eastAsia="Calibri" w:hAnsi="Calibri"/>
              <w:sz w:val="17"/>
              <w:szCs w:val="17"/>
              <w:lang w:eastAsia="en-US"/>
            </w:rPr>
            <w:t xml:space="preserve">t zakázky je spolufinancován z </w:t>
          </w:r>
          <w:r w:rsidRPr="002F757C">
            <w:rPr>
              <w:rFonts w:ascii="Calibri" w:eastAsia="Calibri" w:hAnsi="Calibri"/>
              <w:sz w:val="17"/>
              <w:szCs w:val="17"/>
              <w:lang w:eastAsia="en-US"/>
            </w:rPr>
            <w:t>dotačního programu SZIF: 129 660 Údržba a obnova kulturních a venkovských prvků</w:t>
          </w:r>
          <w:bookmarkStart w:id="2" w:name="_Toc472430330"/>
        </w:p>
        <w:p w:rsidR="00CC143F" w:rsidRPr="002F757C" w:rsidRDefault="00CC143F" w:rsidP="00CC143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7"/>
              <w:szCs w:val="17"/>
              <w:lang w:eastAsia="en-US"/>
            </w:rPr>
          </w:pPr>
          <w:r w:rsidRPr="002F757C">
            <w:rPr>
              <w:rFonts w:ascii="Calibri" w:eastAsia="Calibri" w:hAnsi="Calibri"/>
              <w:b/>
              <w:sz w:val="17"/>
              <w:szCs w:val="17"/>
              <w:lang w:eastAsia="en-US"/>
            </w:rPr>
            <w:t xml:space="preserve">Podprogram </w:t>
          </w:r>
          <w:r w:rsidRPr="00266A73">
            <w:rPr>
              <w:rFonts w:ascii="Calibri" w:eastAsia="Calibri" w:hAnsi="Calibri"/>
              <w:b/>
              <w:sz w:val="17"/>
              <w:szCs w:val="17"/>
              <w:lang w:eastAsia="en-US"/>
            </w:rPr>
            <w:t>129 665 Podpora pro vytvoření nebo obnovu místa pasivního odpočinku</w:t>
          </w:r>
          <w:bookmarkEnd w:id="2"/>
        </w:p>
      </w:tc>
    </w:tr>
  </w:tbl>
  <w:p w:rsidR="005E1042" w:rsidRPr="00310698" w:rsidRDefault="005E1042" w:rsidP="003106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4F00"/>
    <w:multiLevelType w:val="hybridMultilevel"/>
    <w:tmpl w:val="EDFEE37A"/>
    <w:lvl w:ilvl="0" w:tplc="04050017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9639BA"/>
    <w:multiLevelType w:val="hybridMultilevel"/>
    <w:tmpl w:val="A0BA71EE"/>
    <w:lvl w:ilvl="0" w:tplc="836AE1C2">
      <w:start w:val="1"/>
      <w:numFmt w:val="bullet"/>
      <w:lvlText w:val="­"/>
      <w:lvlJc w:val="left"/>
      <w:pPr>
        <w:ind w:left="1485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1766EEA"/>
    <w:multiLevelType w:val="hybridMultilevel"/>
    <w:tmpl w:val="B3F66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E7D5F"/>
    <w:multiLevelType w:val="hybridMultilevel"/>
    <w:tmpl w:val="7C5693FC"/>
    <w:lvl w:ilvl="0" w:tplc="FEEAF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29C"/>
    <w:multiLevelType w:val="hybridMultilevel"/>
    <w:tmpl w:val="D0FCD47C"/>
    <w:lvl w:ilvl="0" w:tplc="E80EED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2A83"/>
    <w:multiLevelType w:val="hybridMultilevel"/>
    <w:tmpl w:val="D1B24684"/>
    <w:lvl w:ilvl="0" w:tplc="C0F276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9D6"/>
    <w:rsid w:val="00010B8C"/>
    <w:rsid w:val="00067E97"/>
    <w:rsid w:val="00094F5C"/>
    <w:rsid w:val="000C6E35"/>
    <w:rsid w:val="000D5F72"/>
    <w:rsid w:val="0012218E"/>
    <w:rsid w:val="00163C9B"/>
    <w:rsid w:val="001A1655"/>
    <w:rsid w:val="00254B5F"/>
    <w:rsid w:val="002E2CB6"/>
    <w:rsid w:val="00310698"/>
    <w:rsid w:val="00336C06"/>
    <w:rsid w:val="003545B8"/>
    <w:rsid w:val="00470F41"/>
    <w:rsid w:val="004A39D6"/>
    <w:rsid w:val="005058D6"/>
    <w:rsid w:val="00514D37"/>
    <w:rsid w:val="00585904"/>
    <w:rsid w:val="005963A7"/>
    <w:rsid w:val="005D1B94"/>
    <w:rsid w:val="005D75BD"/>
    <w:rsid w:val="005E1042"/>
    <w:rsid w:val="005F42FC"/>
    <w:rsid w:val="00617CD1"/>
    <w:rsid w:val="00623283"/>
    <w:rsid w:val="0062767E"/>
    <w:rsid w:val="00670BC3"/>
    <w:rsid w:val="006B3C4B"/>
    <w:rsid w:val="006F59B9"/>
    <w:rsid w:val="006F6D5B"/>
    <w:rsid w:val="0075482D"/>
    <w:rsid w:val="00771D6A"/>
    <w:rsid w:val="0077357F"/>
    <w:rsid w:val="00790D85"/>
    <w:rsid w:val="00836BFB"/>
    <w:rsid w:val="00876429"/>
    <w:rsid w:val="008A746B"/>
    <w:rsid w:val="008D2015"/>
    <w:rsid w:val="008E1829"/>
    <w:rsid w:val="00914BDD"/>
    <w:rsid w:val="009F0D64"/>
    <w:rsid w:val="00A21C52"/>
    <w:rsid w:val="00A779E9"/>
    <w:rsid w:val="00A9044B"/>
    <w:rsid w:val="00AC4D90"/>
    <w:rsid w:val="00AD04FF"/>
    <w:rsid w:val="00AD23EF"/>
    <w:rsid w:val="00AE3450"/>
    <w:rsid w:val="00B157E1"/>
    <w:rsid w:val="00B17059"/>
    <w:rsid w:val="00B71FF1"/>
    <w:rsid w:val="00BA00AF"/>
    <w:rsid w:val="00C41E6A"/>
    <w:rsid w:val="00C54429"/>
    <w:rsid w:val="00C63522"/>
    <w:rsid w:val="00C64CF1"/>
    <w:rsid w:val="00C70AC6"/>
    <w:rsid w:val="00C72186"/>
    <w:rsid w:val="00C83844"/>
    <w:rsid w:val="00CC143F"/>
    <w:rsid w:val="00CD2C28"/>
    <w:rsid w:val="00D049F9"/>
    <w:rsid w:val="00D05CB3"/>
    <w:rsid w:val="00D34A3D"/>
    <w:rsid w:val="00D77A59"/>
    <w:rsid w:val="00E065E9"/>
    <w:rsid w:val="00E10EB1"/>
    <w:rsid w:val="00E21242"/>
    <w:rsid w:val="00E215AB"/>
    <w:rsid w:val="00E767CD"/>
    <w:rsid w:val="00E8155E"/>
    <w:rsid w:val="00F36385"/>
    <w:rsid w:val="00F54089"/>
    <w:rsid w:val="00FA0B71"/>
    <w:rsid w:val="00FD3A4F"/>
    <w:rsid w:val="00FF12A0"/>
    <w:rsid w:val="00FF41C7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F9F465"/>
  <w15:docId w15:val="{FD64D6F0-F19C-4116-9AA6-41A6F459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39D6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06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3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A3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39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A39D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7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uiPriority w:val="99"/>
    <w:rsid w:val="00E767C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3106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4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1B67F-3010-4F4A-BCA7-D609D823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Jeňa</dc:creator>
  <cp:keywords/>
  <cp:lastModifiedBy>kutil@jd-dotace.cz</cp:lastModifiedBy>
  <cp:revision>10</cp:revision>
  <cp:lastPrinted>2015-12-01T15:40:00Z</cp:lastPrinted>
  <dcterms:created xsi:type="dcterms:W3CDTF">2017-05-24T08:26:00Z</dcterms:created>
  <dcterms:modified xsi:type="dcterms:W3CDTF">2017-07-14T13:28:00Z</dcterms:modified>
</cp:coreProperties>
</file>